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A4C" w:rsidRPr="006D0871" w:rsidRDefault="00E15A4C" w:rsidP="00E15A4C">
      <w:pPr>
        <w:rPr>
          <w:b/>
          <w:bCs/>
          <w:sz w:val="24"/>
          <w:szCs w:val="24"/>
        </w:rPr>
      </w:pPr>
      <w:r w:rsidRPr="006D0871">
        <w:rPr>
          <w:b/>
          <w:bCs/>
          <w:sz w:val="24"/>
          <w:szCs w:val="24"/>
        </w:rPr>
        <w:t>Education and Human Development</w:t>
      </w:r>
    </w:p>
    <w:p w:rsidR="00E15A4C" w:rsidRDefault="00E15A4C" w:rsidP="00E15A4C">
      <w:r>
        <w:t>Education and human development programs make a positive difference in the lives of young children.</w:t>
      </w:r>
      <w:r w:rsidR="00A9152C">
        <w:t xml:space="preserve"> </w:t>
      </w:r>
      <w:r>
        <w:t>Professionals who follow this path tend to be good communicators with the ability to empathize with</w:t>
      </w:r>
      <w:r w:rsidR="00A9152C">
        <w:t xml:space="preserve"> </w:t>
      </w:r>
      <w:r>
        <w:t>people from diverse backgrounds.8 Education and human development employers reported 20,023 jobs in</w:t>
      </w:r>
      <w:r w:rsidR="00A9152C">
        <w:t xml:space="preserve"> </w:t>
      </w:r>
      <w:r>
        <w:t>2020, accounting for 1.2% of the total jobs in the region.</w:t>
      </w:r>
    </w:p>
    <w:p w:rsidR="00E15A4C" w:rsidRPr="006D0871" w:rsidRDefault="00E15A4C" w:rsidP="00E15A4C">
      <w:pPr>
        <w:rPr>
          <w:b/>
          <w:bCs/>
          <w:sz w:val="24"/>
          <w:szCs w:val="24"/>
        </w:rPr>
      </w:pPr>
      <w:r w:rsidRPr="006D0871">
        <w:rPr>
          <w:b/>
          <w:bCs/>
          <w:sz w:val="24"/>
          <w:szCs w:val="24"/>
        </w:rPr>
        <w:t>Community College Programs</w:t>
      </w:r>
    </w:p>
    <w:p w:rsidR="00E15A4C" w:rsidRDefault="00E15A4C" w:rsidP="00E15A4C">
      <w:r>
        <w:t>The community colleges in the region offer 12 education and human development programs, with th</w:t>
      </w:r>
      <w:r w:rsidR="00A9152C">
        <w:t xml:space="preserve">e </w:t>
      </w:r>
      <w:r>
        <w:t>opportunity to offer five additional programs that are not currently in existence. All 12 community</w:t>
      </w:r>
      <w:r w:rsidR="006D0871">
        <w:t xml:space="preserve"> </w:t>
      </w:r>
      <w:r>
        <w:t>colleges</w:t>
      </w:r>
      <w:r w:rsidR="00A9152C">
        <w:t xml:space="preserve"> </w:t>
      </w:r>
      <w:r>
        <w:t>in the region offer programs related to this sector.</w:t>
      </w:r>
    </w:p>
    <w:p w:rsidR="00E15A4C" w:rsidRDefault="00A9152C" w:rsidP="00E15A4C">
      <w:r>
        <w:rPr>
          <w:noProof/>
        </w:rPr>
        <w:drawing>
          <wp:anchor distT="0" distB="0" distL="114300" distR="114300" simplePos="0" relativeHeight="251658240" behindDoc="0" locked="0" layoutInCell="1" allowOverlap="1" wp14:anchorId="6CA4218D">
            <wp:simplePos x="0" y="0"/>
            <wp:positionH relativeFrom="column">
              <wp:posOffset>-447675</wp:posOffset>
            </wp:positionH>
            <wp:positionV relativeFrom="paragraph">
              <wp:posOffset>219075</wp:posOffset>
            </wp:positionV>
            <wp:extent cx="5456659" cy="2313940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2" t="22100" r="22092" b="34245"/>
                    <a:stretch/>
                  </pic:blipFill>
                  <pic:spPr bwMode="auto">
                    <a:xfrm>
                      <a:off x="0" y="0"/>
                      <a:ext cx="5456659" cy="231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A4C">
        <w:t>Exhibit 20. Education and human development program inventory summary</w:t>
      </w:r>
    </w:p>
    <w:p w:rsidR="00A9152C" w:rsidRDefault="00A9152C" w:rsidP="00E15A4C"/>
    <w:p w:rsidR="00A9152C" w:rsidRDefault="00A9152C" w:rsidP="00E15A4C"/>
    <w:p w:rsidR="00A9152C" w:rsidRDefault="00A9152C" w:rsidP="00E15A4C"/>
    <w:p w:rsidR="00A9152C" w:rsidRDefault="00A9152C" w:rsidP="00E15A4C"/>
    <w:p w:rsidR="00A9152C" w:rsidRDefault="00A9152C" w:rsidP="00E15A4C"/>
    <w:p w:rsidR="006D0871" w:rsidRDefault="006D0871" w:rsidP="00E15A4C"/>
    <w:p w:rsidR="006D0871" w:rsidRDefault="006D0871" w:rsidP="00E15A4C"/>
    <w:p w:rsidR="00E15A4C" w:rsidRDefault="00E15A4C" w:rsidP="00E15A4C">
      <w:r>
        <w:t>Community-College-Level Occupations</w:t>
      </w:r>
    </w:p>
    <w:p w:rsidR="00E15A4C" w:rsidRDefault="00E15A4C" w:rsidP="00E15A4C">
      <w:r>
        <w:t>There are eight community-college-level occupations that fall within the education and human</w:t>
      </w:r>
      <w:r w:rsidR="006D0871">
        <w:t xml:space="preserve"> </w:t>
      </w:r>
      <w:r>
        <w:t>development</w:t>
      </w:r>
      <w:r w:rsidR="00A9152C">
        <w:t xml:space="preserve"> </w:t>
      </w:r>
      <w:r>
        <w:t>sector. In 2020, these occupations had an estimated 47,614 jobs and are projected to have 5,889 annual</w:t>
      </w:r>
      <w:r w:rsidR="00A9152C">
        <w:t xml:space="preserve"> </w:t>
      </w:r>
      <w:r>
        <w:t>job openings through 2025. The median hourly earnings for these occupations range from $14.11/hour to</w:t>
      </w:r>
      <w:r w:rsidR="00A9152C">
        <w:t xml:space="preserve"> </w:t>
      </w:r>
      <w:r>
        <w:t>$35.12/hour.</w:t>
      </w:r>
    </w:p>
    <w:p w:rsidR="00E15A4C" w:rsidRDefault="00A9152C" w:rsidP="00E15A4C">
      <w:r w:rsidRPr="00A9152C">
        <w:drawing>
          <wp:anchor distT="0" distB="0" distL="114300" distR="114300" simplePos="0" relativeHeight="251659264" behindDoc="0" locked="0" layoutInCell="1" allowOverlap="1" wp14:anchorId="7AFE989C">
            <wp:simplePos x="0" y="0"/>
            <wp:positionH relativeFrom="column">
              <wp:posOffset>-466726</wp:posOffset>
            </wp:positionH>
            <wp:positionV relativeFrom="paragraph">
              <wp:posOffset>179705</wp:posOffset>
            </wp:positionV>
            <wp:extent cx="5396825" cy="2705100"/>
            <wp:effectExtent l="0" t="0" r="0" b="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21949" r="21635" b="25612"/>
                    <a:stretch/>
                  </pic:blipFill>
                  <pic:spPr bwMode="auto">
                    <a:xfrm>
                      <a:off x="0" y="0"/>
                      <a:ext cx="5405431" cy="2709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A4C">
        <w:t>Exhibit 21. Education and human development community-college-level occupations</w:t>
      </w:r>
    </w:p>
    <w:p w:rsidR="00A9152C" w:rsidRDefault="00A9152C" w:rsidP="00E15A4C"/>
    <w:p w:rsidR="00A9152C" w:rsidRDefault="00A9152C" w:rsidP="00E15A4C"/>
    <w:p w:rsidR="00A9152C" w:rsidRDefault="00A9152C" w:rsidP="00E15A4C"/>
    <w:p w:rsidR="00A9152C" w:rsidRDefault="00A9152C" w:rsidP="00E15A4C"/>
    <w:p w:rsidR="00A9152C" w:rsidRDefault="00A9152C" w:rsidP="00E15A4C"/>
    <w:p w:rsidR="00A9152C" w:rsidRDefault="00A9152C" w:rsidP="00E15A4C"/>
    <w:p w:rsidR="00A9152C" w:rsidRDefault="00A9152C" w:rsidP="00E15A4C"/>
    <w:p w:rsidR="006D0871" w:rsidRDefault="003F3CE8" w:rsidP="00E15A4C">
      <w:r>
        <w:lastRenderedPageBreak/>
        <w:t>For this study, an occupation is considered in demand if it has 100 annual job openings or more over the next five years in the region</w:t>
      </w:r>
      <w:r>
        <w:t xml:space="preserve">. </w:t>
      </w:r>
      <w:r w:rsidRPr="003F3CE8">
        <w:t>Education and human development employment opportunities that met either the in-demand or high-wage criteria, but not both, were further examined for this study.</w:t>
      </w:r>
      <w:r w:rsidR="006D0871">
        <w:t xml:space="preserve"> </w:t>
      </w:r>
    </w:p>
    <w:p w:rsidR="003F3CE8" w:rsidRDefault="006D0871" w:rsidP="00E15A4C">
      <w:r>
        <w:rPr>
          <w:noProof/>
        </w:rPr>
        <w:drawing>
          <wp:anchor distT="0" distB="0" distL="114300" distR="114300" simplePos="0" relativeHeight="251660288" behindDoc="0" locked="0" layoutInCell="1" allowOverlap="1" wp14:anchorId="249133D9">
            <wp:simplePos x="0" y="0"/>
            <wp:positionH relativeFrom="margin">
              <wp:posOffset>-123825</wp:posOffset>
            </wp:positionH>
            <wp:positionV relativeFrom="paragraph">
              <wp:posOffset>857250</wp:posOffset>
            </wp:positionV>
            <wp:extent cx="5548520" cy="1409700"/>
            <wp:effectExtent l="0" t="0" r="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0" t="47320" r="21314" b="28490"/>
                    <a:stretch/>
                  </pic:blipFill>
                  <pic:spPr bwMode="auto">
                    <a:xfrm>
                      <a:off x="0" y="0"/>
                      <a:ext cx="554852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CE8" w:rsidRPr="003F3CE8">
        <w:t>Occupations were analyzed that have fewer than 100 annual job openings but at least 500 combined annual job openings in neighboring counties (Los Angeles, San Diego, Orange, and Imperial).</w:t>
      </w:r>
      <w:r>
        <w:t xml:space="preserve"> </w:t>
      </w:r>
      <w:r w:rsidR="003F3CE8" w:rsidRPr="003F3CE8">
        <w:t>Occupations were included that fell short of the high-wage threshold ($20.86 per hour) at the median level, but that exceed this criterion at the experienced level, 75th percentile.</w:t>
      </w:r>
    </w:p>
    <w:p w:rsidR="006D0871" w:rsidRDefault="006D0871" w:rsidP="00E15A4C"/>
    <w:p w:rsidR="006D0871" w:rsidRDefault="006D0871" w:rsidP="00E15A4C"/>
    <w:p w:rsidR="006D0871" w:rsidRDefault="006D0871" w:rsidP="00E15A4C"/>
    <w:p w:rsidR="003F3CE8" w:rsidRDefault="003F3CE8" w:rsidP="00E15A4C"/>
    <w:p w:rsidR="006D0871" w:rsidRDefault="006D0871" w:rsidP="00E15A4C"/>
    <w:p w:rsidR="006D0871" w:rsidRDefault="006D0871" w:rsidP="00E15A4C">
      <w:r w:rsidRPr="006D0871">
        <w:t>Key Findings and Recommendations</w:t>
      </w:r>
      <w:r>
        <w:t>:</w:t>
      </w:r>
    </w:p>
    <w:p w:rsidR="006D0871" w:rsidRDefault="006D0871" w:rsidP="00E15A4C">
      <w:r w:rsidRPr="006D0871">
        <w:t xml:space="preserve">The education and human development sector </w:t>
      </w:r>
      <w:proofErr w:type="gramStart"/>
      <w:r w:rsidRPr="006D0871">
        <w:t>is</w:t>
      </w:r>
      <w:proofErr w:type="gramEnd"/>
      <w:r w:rsidRPr="006D0871">
        <w:t xml:space="preserve"> fairly small in terms of the number of community-college</w:t>
      </w:r>
      <w:r>
        <w:t xml:space="preserve"> </w:t>
      </w:r>
      <w:r w:rsidRPr="006D0871">
        <w:t>level occupations. This sector has eight community-college-level occupations and two occupations that are considered high-quality jobs. Community colleges in the region offer programs related to all eight occupations</w:t>
      </w:r>
      <w:r>
        <w:t>.</w:t>
      </w:r>
    </w:p>
    <w:sectPr w:rsidR="006D0871" w:rsidSect="006D0871">
      <w:pgSz w:w="12240" w:h="15840"/>
      <w:pgMar w:top="864" w:right="117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4C"/>
    <w:rsid w:val="003F3CE8"/>
    <w:rsid w:val="004C7E2F"/>
    <w:rsid w:val="00502A5D"/>
    <w:rsid w:val="006D0871"/>
    <w:rsid w:val="00970DF4"/>
    <w:rsid w:val="00A9152C"/>
    <w:rsid w:val="00B2216C"/>
    <w:rsid w:val="00E1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2B67"/>
  <w15:chartTrackingRefBased/>
  <w15:docId w15:val="{9D879EBB-65A4-4BFA-B478-44B1523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5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02A5D"/>
    <w:pPr>
      <w:keepNext/>
      <w:suppressAutoHyphens/>
      <w:spacing w:after="0" w:line="240" w:lineRule="auto"/>
      <w:outlineLvl w:val="1"/>
    </w:pPr>
    <w:rPr>
      <w:rFonts w:ascii="Book Antiqua" w:eastAsia="Times New Roman" w:hAnsi="Book Antiqua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A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A5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02A5D"/>
    <w:rPr>
      <w:rFonts w:ascii="Book Antiqua" w:eastAsia="Times New Roman" w:hAnsi="Book Antiqua"/>
      <w:sz w:val="24"/>
    </w:rPr>
  </w:style>
  <w:style w:type="character" w:customStyle="1" w:styleId="Heading3Char">
    <w:name w:val="Heading 3 Char"/>
    <w:link w:val="Heading3"/>
    <w:uiPriority w:val="9"/>
    <w:semiHidden/>
    <w:rsid w:val="00502A5D"/>
    <w:rPr>
      <w:rFonts w:ascii="Cambria" w:eastAsia="Times New Roman" w:hAnsi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502A5D"/>
    <w:rPr>
      <w:rFonts w:eastAsia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502A5D"/>
    <w:pPr>
      <w:spacing w:after="0" w:line="240" w:lineRule="auto"/>
      <w:ind w:left="72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Melissa</dc:creator>
  <cp:keywords/>
  <dc:description/>
  <cp:lastModifiedBy>Thompson, Melissa</cp:lastModifiedBy>
  <cp:revision>2</cp:revision>
  <dcterms:created xsi:type="dcterms:W3CDTF">2021-10-28T18:19:00Z</dcterms:created>
  <dcterms:modified xsi:type="dcterms:W3CDTF">2021-10-28T19:10:00Z</dcterms:modified>
</cp:coreProperties>
</file>